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23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№ 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Журавского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 xml:space="preserve">ных услуг» администрация Журавского сельского поселения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района               п о с </w:t>
      </w:r>
      <w:proofErr w:type="gramStart"/>
      <w:r w:rsidR="00096D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6D61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Журавского сельского поселения </w:t>
      </w:r>
      <w:proofErr w:type="spellStart"/>
      <w:r w:rsidR="00096D61" w:rsidRPr="00096D6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Журавского сельского поселения </w:t>
      </w:r>
      <w:proofErr w:type="spellStart"/>
      <w:r w:rsidR="00965562">
        <w:rPr>
          <w:rFonts w:ascii="Times New Roman" w:hAnsi="Times New Roman" w:cs="Times New Roman"/>
          <w:sz w:val="28"/>
          <w:szCs w:val="28"/>
        </w:rPr>
        <w:t>К</w:t>
      </w:r>
      <w:r w:rsidR="00515047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5150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96D61">
        <w:rPr>
          <w:rFonts w:ascii="Times New Roman" w:hAnsi="Times New Roman" w:cs="Times New Roman"/>
          <w:sz w:val="28"/>
          <w:szCs w:val="28"/>
        </w:rPr>
        <w:t>19.01.2016 № 10</w:t>
      </w:r>
      <w:r w:rsidR="009655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965562">
        <w:rPr>
          <w:rFonts w:ascii="Times New Roman" w:hAnsi="Times New Roman" w:cs="Times New Roman"/>
          <w:sz w:val="28"/>
          <w:szCs w:val="28"/>
        </w:rPr>
        <w:t xml:space="preserve">  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  <w:r w:rsidRPr="006B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096D6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</w:t>
      </w:r>
    </w:p>
    <w:p w:rsidR="002927AE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9518F0" w:rsidRDefault="009518F0" w:rsidP="009518F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Журавского сельского поселения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518F0" w:rsidRDefault="009518F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AE0B7B" w:rsidRPr="009518F0" w:rsidRDefault="00AE0B7B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  области</w:t>
            </w:r>
            <w:proofErr w:type="gram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AE0B7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Журавского сельского поселения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«Журавский сельский дом культуры»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«Журавская сельская библиотека»</w:t>
            </w:r>
          </w:p>
        </w:tc>
      </w:tr>
    </w:tbl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 № </w:t>
      </w:r>
    </w:p>
    <w:p w:rsidR="00C42390" w:rsidRPr="00C42390" w:rsidRDefault="00293DBE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/>
          <w:sz w:val="28"/>
          <w:szCs w:val="28"/>
        </w:rPr>
        <w:t>«</w:t>
      </w:r>
      <w:r w:rsidR="00C42390" w:rsidRPr="00C423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 xml:space="preserve"> администрации Журавского сельского поселения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239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C42390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</w:t>
      </w:r>
    </w:p>
    <w:p w:rsidR="00293DBE" w:rsidRPr="00C42390" w:rsidRDefault="00C42390" w:rsidP="00C4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293DBE" w:rsidRPr="00C42390">
        <w:rPr>
          <w:rFonts w:ascii="Times New Roman" w:hAnsi="Times New Roman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  <w:bookmarkStart w:id="0" w:name="_GoBack"/>
      <w:bookmarkEnd w:id="0"/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3"/>
    <w:rsid w:val="00041FB2"/>
    <w:rsid w:val="00096D61"/>
    <w:rsid w:val="002251E5"/>
    <w:rsid w:val="002927AE"/>
    <w:rsid w:val="00293DBE"/>
    <w:rsid w:val="0034775B"/>
    <w:rsid w:val="003B76E4"/>
    <w:rsid w:val="00445785"/>
    <w:rsid w:val="004E54D4"/>
    <w:rsid w:val="00515047"/>
    <w:rsid w:val="0058113E"/>
    <w:rsid w:val="006B7163"/>
    <w:rsid w:val="007C390A"/>
    <w:rsid w:val="007C7E65"/>
    <w:rsid w:val="00837ADF"/>
    <w:rsid w:val="00906DC0"/>
    <w:rsid w:val="009518F0"/>
    <w:rsid w:val="00965562"/>
    <w:rsid w:val="009E4AC5"/>
    <w:rsid w:val="00AB264A"/>
    <w:rsid w:val="00AE0B7B"/>
    <w:rsid w:val="00C2681D"/>
    <w:rsid w:val="00C42390"/>
    <w:rsid w:val="00CE13E5"/>
    <w:rsid w:val="00D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0EEC-496B-4EA1-8FCB-251FC36D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2</cp:revision>
  <cp:lastPrinted>2016-02-03T10:25:00Z</cp:lastPrinted>
  <dcterms:created xsi:type="dcterms:W3CDTF">2015-11-18T06:01:00Z</dcterms:created>
  <dcterms:modified xsi:type="dcterms:W3CDTF">2017-01-09T08:41:00Z</dcterms:modified>
</cp:coreProperties>
</file>