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C10F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21665" cy="7239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ЖУРАВСКОГО СЕЛЬСКОГО ПОСЕЛЕНИЯ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КОРЕНОВСКОГО РАЙОНА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10F1">
        <w:rPr>
          <w:rFonts w:ascii="Times New Roman" w:eastAsia="Times New Roman" w:hAnsi="Times New Roman" w:cs="Times New Roman"/>
          <w:b/>
          <w:sz w:val="36"/>
          <w:szCs w:val="36"/>
        </w:rPr>
        <w:t xml:space="preserve"> РЕШЕНИЕ   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10F1">
        <w:rPr>
          <w:rFonts w:ascii="Times New Roman" w:eastAsia="Times New Roman" w:hAnsi="Times New Roman" w:cs="Times New Roman"/>
          <w:b/>
          <w:sz w:val="24"/>
          <w:szCs w:val="28"/>
        </w:rPr>
        <w:t>от 26.1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6C10F1">
        <w:rPr>
          <w:rFonts w:ascii="Times New Roman" w:eastAsia="Times New Roman" w:hAnsi="Times New Roman" w:cs="Times New Roman"/>
          <w:b/>
          <w:sz w:val="24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8</w:t>
      </w:r>
      <w:r w:rsidRPr="006C10F1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000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0F1">
        <w:rPr>
          <w:rFonts w:ascii="Times New Roman" w:eastAsia="Times New Roman" w:hAnsi="Times New Roman" w:cs="Times New Roman"/>
          <w:sz w:val="24"/>
          <w:szCs w:val="28"/>
        </w:rPr>
        <w:t xml:space="preserve">станица </w:t>
      </w:r>
      <w:r w:rsidRPr="006C10F1">
        <w:rPr>
          <w:rFonts w:ascii="Times New Roman" w:eastAsia="Times New Roman" w:hAnsi="Times New Roman" w:cs="Times New Roman"/>
          <w:sz w:val="24"/>
          <w:szCs w:val="24"/>
        </w:rPr>
        <w:t>Журавская</w:t>
      </w:r>
    </w:p>
    <w:p w:rsidR="007359B7" w:rsidRDefault="007359B7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71246" w:rsidRPr="003169B2" w:rsidRDefault="00271246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7359B7" w:rsidRPr="006C10F1" w:rsidRDefault="007359B7" w:rsidP="0040708E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 сельского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0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40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установлении налога на имущест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физических лиц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2E57" w:rsidRPr="003169B2" w:rsidRDefault="008D2E57" w:rsidP="007359B7">
      <w:pPr>
        <w:suppressAutoHyphens/>
        <w:spacing w:after="0" w:line="240" w:lineRule="auto"/>
        <w:ind w:firstLine="567"/>
        <w:jc w:val="center"/>
        <w:rPr>
          <w:rFonts w:ascii="Arial" w:eastAsia="SimSun" w:hAnsi="Arial" w:cs="Arial"/>
          <w:b/>
          <w:color w:val="FF0000"/>
          <w:sz w:val="20"/>
          <w:szCs w:val="20"/>
          <w:lang w:eastAsia="ar-SA"/>
        </w:rPr>
      </w:pPr>
    </w:p>
    <w:p w:rsidR="007359B7" w:rsidRPr="006C10F1" w:rsidRDefault="007359B7" w:rsidP="007359B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363142" w:rsidRPr="00363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4 апреля 2016 года № 3368-КЗ «Об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36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32 Налогового кодекса Российской Федерации, Законом Краснодарского края от 26 ноября 2003 года № 620-КЗ «О налоге на имущество организаций»,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bookmarkStart w:id="0" w:name="_GoBack"/>
      <w:bookmarkEnd w:id="0"/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</w:t>
      </w: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1.Внести следующие изменения в решение 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Совета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Журавского сельского 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района от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27</w:t>
      </w:r>
      <w:r w:rsidR="004070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ноября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2017</w:t>
      </w:r>
      <w:r w:rsidR="004070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190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«Об установлении налога на имущество физических лиц»</w:t>
      </w:r>
      <w:r w:rsidR="00ED3C3D"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(далее – Решение)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7359B7" w:rsidRPr="006C10F1" w:rsidRDefault="00682762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1.1. П</w:t>
      </w:r>
      <w:r w:rsidR="007359B7" w:rsidRPr="006C10F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ункт </w:t>
      </w:r>
      <w:r w:rsidR="006C10F1">
        <w:rPr>
          <w:rFonts w:ascii="Times New Roman" w:eastAsia="SimSun" w:hAnsi="Times New Roman" w:cs="Times New Roman"/>
          <w:sz w:val="28"/>
          <w:szCs w:val="28"/>
          <w:lang w:eastAsia="ru-RU"/>
        </w:rPr>
        <w:t>2</w:t>
      </w:r>
      <w:r w:rsidR="007359B7" w:rsidRPr="006C10F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359B7" w:rsidRDefault="007359B7" w:rsidP="006C10F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 w:rsidR="006C10F1">
        <w:rPr>
          <w:rFonts w:ascii="Times New Roman" w:eastAsia="SimSun" w:hAnsi="Times New Roman" w:cs="Times New Roman"/>
          <w:sz w:val="28"/>
          <w:szCs w:val="28"/>
          <w:lang w:eastAsia="ar-SA"/>
        </w:rPr>
        <w:t>2.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Установить налоговые ставки налога на имущество физических лиц  исходя из кадастровой стоимости объектов налогообложения в следующих размерах:</w:t>
      </w:r>
    </w:p>
    <w:p w:rsidR="0025250D" w:rsidRPr="006C10F1" w:rsidRDefault="0025250D" w:rsidP="006C10F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127"/>
        <w:gridCol w:w="6666"/>
      </w:tblGrid>
      <w:tr w:rsidR="007359B7" w:rsidRPr="006C10F1" w:rsidTr="00A21161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59B7" w:rsidRPr="006C10F1" w:rsidRDefault="007359B7" w:rsidP="00A2116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9B7" w:rsidRPr="006C10F1" w:rsidRDefault="007359B7" w:rsidP="00A2116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359B7" w:rsidRPr="006C10F1" w:rsidTr="006C10F1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</w:t>
            </w:r>
          </w:p>
          <w:p w:rsidR="007359B7" w:rsidRPr="006C10F1" w:rsidRDefault="007359B7" w:rsidP="00A21161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59B7" w:rsidRPr="006C10F1" w:rsidRDefault="006C10F1" w:rsidP="007359B7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Жилые дома, части жилых домов, квартиры, части квартир, комнаты;</w:t>
            </w:r>
          </w:p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</w:t>
            </w: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дачного хозяйства, огородничества, садоводства или индивидуального жилищного строительства;</w:t>
            </w:r>
          </w:p>
          <w:p w:rsidR="007359B7" w:rsidRPr="006C10F1" w:rsidRDefault="007359B7" w:rsidP="00A211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машино-места</w:t>
            </w:r>
            <w:proofErr w:type="spellEnd"/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расположенные в объектах налогообложения, указанных в строке 3 таблицы</w:t>
            </w:r>
          </w:p>
        </w:tc>
      </w:tr>
      <w:tr w:rsidR="007359B7" w:rsidRPr="006C10F1" w:rsidTr="00A21161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359B7" w:rsidRPr="006C10F1" w:rsidRDefault="00EE04B6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7359B7" w:rsidRPr="006C10F1" w:rsidTr="00A2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9B7" w:rsidRPr="006C10F1" w:rsidRDefault="00EE04B6" w:rsidP="007359B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Объекты налогообложения, предусмотренные абзацем вторым пункта 10 статьи 378.2 НК РФ;</w:t>
            </w:r>
          </w:p>
          <w:p w:rsidR="007359B7" w:rsidRPr="006C10F1" w:rsidRDefault="007359B7" w:rsidP="00A211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7359B7" w:rsidRPr="006C10F1" w:rsidTr="00A21161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B7" w:rsidRPr="006C10F1" w:rsidRDefault="007359B7" w:rsidP="00A21161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B7" w:rsidRPr="006C10F1" w:rsidRDefault="007359B7" w:rsidP="00A21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59B7" w:rsidRPr="006C10F1" w:rsidTr="00A21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EE04B6" w:rsidP="007359B7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B7" w:rsidRPr="006C10F1" w:rsidRDefault="007359B7" w:rsidP="00A21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7359B7" w:rsidRPr="006C10F1" w:rsidRDefault="007359B7" w:rsidP="007359B7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r w:rsidRPr="006C1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6C10F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EE04B6">
        <w:rPr>
          <w:rFonts w:ascii="Times New Roman" w:eastAsia="SimSun" w:hAnsi="Times New Roman" w:cs="Times New Roman"/>
          <w:sz w:val="28"/>
          <w:szCs w:val="28"/>
          <w:lang w:eastAsia="ar-SA"/>
        </w:rPr>
        <w:t>14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25250D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</w:t>
      </w:r>
      <w:proofErr w:type="spellStart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Кореновские</w:t>
      </w:r>
      <w:proofErr w:type="spellEnd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вести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</w:t>
      </w:r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администрации Журавского сельского 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A21161" w:rsidRDefault="0027124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0"/>
          <w:lang w:eastAsia="ar-SA"/>
        </w:rPr>
      </w:pPr>
      <w:r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7359B7"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Контроль за</w:t>
      </w:r>
      <w:proofErr w:type="gramEnd"/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 выполнением настоящего решения возложить на комиссию по вопросам </w:t>
      </w:r>
      <w:r w:rsidR="00A21161" w:rsidRPr="00D44A65">
        <w:rPr>
          <w:rFonts w:ascii="Times New Roman" w:hAnsi="Times New Roman" w:cs="Times New Roman"/>
          <w:sz w:val="28"/>
        </w:rPr>
        <w:t>финансово-бюджетной и экономической политике, налогам и сборам, землепользованию и землеустройству</w:t>
      </w:r>
      <w:r w:rsidR="00A21161" w:rsidRPr="00D44A65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Совета 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Журавского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 поселения 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Кореновского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района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(Денисенко)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.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</w:p>
    <w:p w:rsidR="007359B7" w:rsidRPr="00271246" w:rsidRDefault="0027124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6</w:t>
      </w:r>
      <w:r w:rsidR="007359B7" w:rsidRPr="00271246">
        <w:rPr>
          <w:rFonts w:ascii="Times New Roman" w:eastAsia="SimSun" w:hAnsi="Times New Roman" w:cs="Times New Roman"/>
          <w:sz w:val="28"/>
          <w:szCs w:val="28"/>
          <w:lang w:eastAsia="ar-SA"/>
        </w:rPr>
        <w:t>. Подпункт 1.</w:t>
      </w:r>
      <w:r w:rsidRPr="00271246">
        <w:rPr>
          <w:rFonts w:ascii="Times New Roman" w:eastAsia="SimSun" w:hAnsi="Times New Roman" w:cs="Times New Roman"/>
          <w:sz w:val="28"/>
          <w:szCs w:val="28"/>
          <w:lang w:eastAsia="ar-SA"/>
        </w:rPr>
        <w:t>1</w:t>
      </w:r>
      <w:r w:rsidR="007359B7" w:rsidRPr="0027124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пункта 1 настоящего решения вступает в силу </w:t>
      </w:r>
      <w:r w:rsidR="00682762">
        <w:rPr>
          <w:rFonts w:ascii="Times New Roman" w:eastAsia="SimSun" w:hAnsi="Times New Roman" w:cs="Times New Roman"/>
          <w:sz w:val="28"/>
          <w:szCs w:val="28"/>
          <w:lang w:eastAsia="ar-SA"/>
        </w:rPr>
        <w:t>со дня его оф</w:t>
      </w:r>
      <w:r w:rsidR="00CC10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ициального </w:t>
      </w:r>
      <w:proofErr w:type="gramStart"/>
      <w:r w:rsidR="00682762">
        <w:rPr>
          <w:rFonts w:ascii="Times New Roman" w:eastAsia="SimSun" w:hAnsi="Times New Roman" w:cs="Times New Roman"/>
          <w:sz w:val="28"/>
          <w:szCs w:val="28"/>
          <w:lang w:eastAsia="ar-SA"/>
        </w:rPr>
        <w:t>опубл</w:t>
      </w:r>
      <w:r w:rsidR="00CC1024">
        <w:rPr>
          <w:rFonts w:ascii="Times New Roman" w:eastAsia="SimSun" w:hAnsi="Times New Roman" w:cs="Times New Roman"/>
          <w:sz w:val="28"/>
          <w:szCs w:val="28"/>
          <w:lang w:eastAsia="ar-SA"/>
        </w:rPr>
        <w:t>икования</w:t>
      </w:r>
      <w:proofErr w:type="gramEnd"/>
      <w:r w:rsidR="006827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расп</w:t>
      </w:r>
      <w:r w:rsidR="00CC10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ространяются на </w:t>
      </w:r>
      <w:r w:rsidR="00682762">
        <w:rPr>
          <w:rFonts w:ascii="Times New Roman" w:eastAsia="SimSun" w:hAnsi="Times New Roman" w:cs="Times New Roman"/>
          <w:sz w:val="28"/>
          <w:szCs w:val="28"/>
          <w:lang w:eastAsia="ar-SA"/>
        </w:rPr>
        <w:t>прав</w:t>
      </w:r>
      <w:r w:rsidR="00CC1024">
        <w:rPr>
          <w:rFonts w:ascii="Times New Roman" w:eastAsia="SimSun" w:hAnsi="Times New Roman" w:cs="Times New Roman"/>
          <w:sz w:val="28"/>
          <w:szCs w:val="28"/>
          <w:lang w:eastAsia="ar-SA"/>
        </w:rPr>
        <w:t>оотношения, возникшие</w:t>
      </w:r>
      <w:r w:rsidR="006827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 1 ян</w:t>
      </w:r>
      <w:r w:rsidR="00CC1024">
        <w:rPr>
          <w:rFonts w:ascii="Times New Roman" w:eastAsia="SimSun" w:hAnsi="Times New Roman" w:cs="Times New Roman"/>
          <w:sz w:val="28"/>
          <w:szCs w:val="28"/>
          <w:lang w:eastAsia="ar-SA"/>
        </w:rPr>
        <w:t>варя</w:t>
      </w:r>
      <w:r w:rsidR="0068276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2018</w:t>
      </w:r>
      <w:r w:rsidR="00CC102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года</w:t>
      </w:r>
      <w:r w:rsidR="00682762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7359B7" w:rsidRPr="006C10F1" w:rsidRDefault="0027124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271246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7</w:t>
      </w:r>
      <w:r w:rsidR="00816387" w:rsidRPr="00271246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. Пункты 2-</w:t>
      </w:r>
      <w:r w:rsidR="00682762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5</w:t>
      </w:r>
      <w:r w:rsidR="00816387" w:rsidRPr="00271246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настоящего решения вступают в силу со дня его официального опубликования.</w:t>
      </w:r>
    </w:p>
    <w:p w:rsidR="007359B7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2B1275" w:rsidRPr="006C10F1" w:rsidRDefault="002B1275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816387" w:rsidRPr="006C10F1" w:rsidRDefault="00816387" w:rsidP="00EE04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271246" w:rsidRDefault="007359B7" w:rsidP="007359B7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</w:p>
    <w:p w:rsidR="00271246" w:rsidRDefault="00EE04B6" w:rsidP="00FC7699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Журавского</w:t>
      </w:r>
      <w:r w:rsidR="00FC7699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поселения</w:t>
      </w:r>
    </w:p>
    <w:p w:rsidR="007359B7" w:rsidRPr="006C10F1" w:rsidRDefault="00FC7699" w:rsidP="00FC7699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Кореновскогорайона</w:t>
      </w:r>
      <w:proofErr w:type="spellEnd"/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И.В. Солодовник</w:t>
      </w:r>
    </w:p>
    <w:p w:rsidR="007359B7" w:rsidRPr="006C10F1" w:rsidRDefault="007359B7" w:rsidP="007359B7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6C10F1" w:rsidRDefault="007359B7" w:rsidP="0073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B7" w:rsidRPr="006C10F1" w:rsidRDefault="007359B7" w:rsidP="007359B7">
      <w:pPr>
        <w:rPr>
          <w:rFonts w:ascii="Times New Roman" w:hAnsi="Times New Roman" w:cs="Times New Roman"/>
          <w:sz w:val="28"/>
          <w:szCs w:val="28"/>
        </w:rPr>
      </w:pPr>
    </w:p>
    <w:p w:rsidR="00A21161" w:rsidRDefault="00A21161"/>
    <w:sectPr w:rsidR="00A21161" w:rsidSect="00271246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9B7"/>
    <w:rsid w:val="0013108A"/>
    <w:rsid w:val="001D1C9E"/>
    <w:rsid w:val="0025250D"/>
    <w:rsid w:val="00271246"/>
    <w:rsid w:val="002B1275"/>
    <w:rsid w:val="00363142"/>
    <w:rsid w:val="0040708E"/>
    <w:rsid w:val="00411410"/>
    <w:rsid w:val="005A5896"/>
    <w:rsid w:val="005B2A04"/>
    <w:rsid w:val="00640AD5"/>
    <w:rsid w:val="00682762"/>
    <w:rsid w:val="006C10F1"/>
    <w:rsid w:val="007359B7"/>
    <w:rsid w:val="00806B3E"/>
    <w:rsid w:val="00816387"/>
    <w:rsid w:val="008203D3"/>
    <w:rsid w:val="00876ED7"/>
    <w:rsid w:val="008D2E57"/>
    <w:rsid w:val="00A21161"/>
    <w:rsid w:val="00AC5149"/>
    <w:rsid w:val="00CC1024"/>
    <w:rsid w:val="00ED3C3D"/>
    <w:rsid w:val="00EE04B6"/>
    <w:rsid w:val="00F10641"/>
    <w:rsid w:val="00F73DE1"/>
    <w:rsid w:val="00FA4901"/>
    <w:rsid w:val="00FC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Бухгалтер</cp:lastModifiedBy>
  <cp:revision>14</cp:revision>
  <dcterms:created xsi:type="dcterms:W3CDTF">2018-11-16T10:33:00Z</dcterms:created>
  <dcterms:modified xsi:type="dcterms:W3CDTF">2018-11-20T06:14:00Z</dcterms:modified>
</cp:coreProperties>
</file>